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EF2" w:rsidRPr="00D51253" w:rsidRDefault="00641EF2" w:rsidP="00641EF2">
      <w:pPr>
        <w:jc w:val="center"/>
        <w:rPr>
          <w:rFonts w:ascii="Times New Roman" w:eastAsia="宋体" w:hAnsi="Times New Roman" w:cs="Times New Roman"/>
          <w:b/>
        </w:rPr>
      </w:pPr>
      <w:r w:rsidRPr="00D51253">
        <w:rPr>
          <w:rFonts w:ascii="Times New Roman" w:eastAsia="宋体" w:hAnsi="Times New Roman" w:cs="Times New Roman"/>
          <w:b/>
        </w:rPr>
        <w:t>Free Exchange: How to Be Wrong</w:t>
      </w:r>
    </w:p>
    <w:p w:rsidR="00641EF2" w:rsidRPr="00D51253" w:rsidRDefault="00641EF2" w:rsidP="00641EF2">
      <w:pPr>
        <w:rPr>
          <w:rFonts w:ascii="宋体" w:eastAsia="宋体" w:hAnsi="宋体"/>
        </w:rPr>
      </w:pPr>
    </w:p>
    <w:p w:rsidR="00641EF2" w:rsidRPr="00D51253" w:rsidRDefault="00641EF2" w:rsidP="00641EF2">
      <w:pPr>
        <w:jc w:val="center"/>
        <w:rPr>
          <w:rFonts w:ascii="Times New Roman" w:eastAsia="宋体" w:hAnsi="Times New Roman" w:cs="Times New Roman"/>
        </w:rPr>
      </w:pPr>
      <w:r w:rsidRPr="00D51253">
        <w:rPr>
          <w:rFonts w:ascii="Times New Roman" w:eastAsia="宋体" w:hAnsi="Times New Roman" w:cs="Times New Roman"/>
        </w:rPr>
        <w:t>To err is human. Society is suffering from an inability to acknowledge as much</w:t>
      </w:r>
    </w:p>
    <w:p w:rsidR="00641EF2" w:rsidRPr="00D51253" w:rsidRDefault="00641EF2" w:rsidP="00641EF2">
      <w:pPr>
        <w:rPr>
          <w:rFonts w:ascii="宋体" w:eastAsia="宋体" w:hAnsi="宋体"/>
        </w:rPr>
      </w:pPr>
    </w:p>
    <w:p w:rsidR="00641EF2" w:rsidRPr="00D51253" w:rsidRDefault="00641EF2" w:rsidP="00641EF2">
      <w:pPr>
        <w:ind w:firstLineChars="200" w:firstLine="420"/>
        <w:rPr>
          <w:rFonts w:ascii="宋体" w:eastAsia="宋体" w:hAnsi="宋体"/>
        </w:rPr>
      </w:pPr>
      <w:r w:rsidRPr="00D51253">
        <w:rPr>
          <w:rFonts w:ascii="宋体" w:eastAsia="宋体"/>
        </w:rPr>
        <w:t>​</w:t>
      </w:r>
      <w:r w:rsidRPr="00D51253">
        <w:rPr>
          <w:rFonts w:ascii="Times New Roman" w:eastAsia="宋体" w:hAnsi="Times New Roman" w:cs="Times New Roman"/>
        </w:rPr>
        <w:t>A newspaper cannot publish for 174 years without some mistakes. This one has made its share. We thought Britain was safe in the European exchange-rate mechanism just weeks before it crashed out; we opined, in 1997, that Indonesia was well placed to avoid financial crisis; we noted in 1999 that oil, at $10 per barrel, might well reach $5, almost perfectly timing the bottom of the market; and in 2003 we supported the invasion of Iraq. For individuals, like publications, errors are painful</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D51253">
        <w:rPr>
          <w:rFonts w:ascii="Times New Roman" w:eastAsia="宋体" w:hAnsi="Times New Roman" w:cs="Times New Roman"/>
        </w:rPr>
        <w:t>particularly now, when the digital evidence of failure is both accessible and indelible. But they are also inevitable. The trick, then, is to err well: to recognise mistakes and learn from them. Worryingly, humanity may be getting worse at owning up to its goofs.</w:t>
      </w:r>
    </w:p>
    <w:p w:rsidR="00641EF2" w:rsidRPr="00D51253" w:rsidRDefault="00641EF2" w:rsidP="00641EF2">
      <w:pPr>
        <w:ind w:firstLineChars="200" w:firstLine="420"/>
        <w:rPr>
          <w:rFonts w:ascii="宋体" w:eastAsia="宋体" w:hAnsi="宋体"/>
        </w:rPr>
      </w:pPr>
    </w:p>
    <w:p w:rsidR="00641EF2" w:rsidRPr="00D51253" w:rsidRDefault="00641EF2" w:rsidP="00641EF2">
      <w:pPr>
        <w:ind w:firstLineChars="200" w:firstLine="420"/>
        <w:rPr>
          <w:rFonts w:ascii="Times New Roman" w:eastAsia="宋体" w:hAnsi="Times New Roman" w:cs="Times New Roman"/>
        </w:rPr>
      </w:pPr>
      <w:r w:rsidRPr="00D51253">
        <w:rPr>
          <w:rFonts w:ascii="Times New Roman" w:eastAsia="宋体" w:hAnsi="Times New Roman" w:cs="Times New Roman"/>
        </w:rPr>
        <w:t xml:space="preserve">Few enjoy the feeling of being caught out in an error. But real trouble starts when the desire to avoid a reckoning leads to a refusal to grapple with contrary evidence. Economists often assume that people are rational. Faced with a new fact, rational actors should update their view of the world in order to take better decisions in future. Yet years of economic research illuminate the ways in which human cognition veers from rationality. Studies confirm what is obvious from experience: people frequently disregard information that conflicts with their view of the world. </w:t>
      </w:r>
    </w:p>
    <w:p w:rsidR="00641EF2" w:rsidRPr="00D51253" w:rsidRDefault="00641EF2" w:rsidP="00641EF2">
      <w:pPr>
        <w:ind w:firstLineChars="200" w:firstLine="420"/>
        <w:rPr>
          <w:rFonts w:ascii="Times New Roman" w:eastAsia="宋体" w:hAnsi="Times New Roman" w:cs="Times New Roman"/>
        </w:rPr>
      </w:pPr>
    </w:p>
    <w:p w:rsidR="00641EF2" w:rsidRPr="00D51253" w:rsidRDefault="00641EF2" w:rsidP="00641EF2">
      <w:pPr>
        <w:ind w:firstLineChars="200" w:firstLine="420"/>
        <w:rPr>
          <w:rFonts w:ascii="Times New Roman" w:eastAsia="宋体" w:hAnsi="Times New Roman" w:cs="Times New Roman"/>
        </w:rPr>
      </w:pPr>
      <w:r w:rsidRPr="00D51253">
        <w:rPr>
          <w:rFonts w:ascii="Times New Roman" w:eastAsia="宋体" w:hAnsi="Times New Roman" w:cs="Times New Roman"/>
        </w:rPr>
        <w:t xml:space="preserve">Why should that be? Last year Roland Bénabou, of Princeton, and Jean Tirole, of the Toulouse School of Economics, presented a framework for thinking about the problem. In many ways, beliefs are like other economic goods. People spend time and resources building them, and derive value from them. Some beliefs are like consumption goods: a passion for conservation can make its owner feel good, and is a public part of his identity, like fashion. Other beliefs provide value by shaping behaviour. The conviction that one is a good salesman may help generate the confidence needed to close sales; religious asceticism can help one avoid unhealthy habits. </w:t>
      </w:r>
    </w:p>
    <w:p w:rsidR="00641EF2" w:rsidRPr="00D51253" w:rsidRDefault="00641EF2" w:rsidP="00641EF2">
      <w:pPr>
        <w:ind w:firstLineChars="200" w:firstLine="420"/>
        <w:rPr>
          <w:rFonts w:ascii="宋体" w:eastAsia="宋体" w:hAnsi="宋体"/>
        </w:rPr>
      </w:pPr>
    </w:p>
    <w:p w:rsidR="00641EF2" w:rsidRPr="00D51253" w:rsidRDefault="00641EF2" w:rsidP="00641EF2">
      <w:pPr>
        <w:ind w:firstLineChars="200" w:firstLine="420"/>
        <w:rPr>
          <w:rFonts w:ascii="Times New Roman" w:eastAsia="宋体" w:hAnsi="Times New Roman" w:cs="Times New Roman"/>
        </w:rPr>
      </w:pPr>
      <w:r w:rsidRPr="00D51253">
        <w:rPr>
          <w:rFonts w:ascii="Times New Roman" w:eastAsia="宋体" w:hAnsi="Times New Roman" w:cs="Times New Roman"/>
        </w:rPr>
        <w:t xml:space="preserve">Because beliefs, however, are not simply tools for making good decisions, but are treasured in their own right, new information that challenges them is unwelcome. People often engage in “motivated reasoning” to manage such challenges. Mr Bénabou classifies this into three categories. “Strategic ignorance” is when a believer avoids information offering conflicting evidence. In “reality denial” troubling evidence is rationalised away: house-price bulls might conjure up fanciful theories for why prices should behave unusually, and supporters of a disgraced politician might invent conspiracies or blame fake news. And lastly, in “self-signalling”, the believer creates his own tools to interpret the facts in the way he wants: an unhealthy person, for example, might decide that going for a daily run proves he is well. </w:t>
      </w:r>
    </w:p>
    <w:p w:rsidR="00641EF2" w:rsidRPr="00D51253" w:rsidRDefault="00641EF2" w:rsidP="00641EF2">
      <w:pPr>
        <w:ind w:firstLineChars="200" w:firstLine="420"/>
        <w:rPr>
          <w:rFonts w:ascii="宋体" w:eastAsia="宋体" w:hAnsi="宋体"/>
        </w:rPr>
      </w:pPr>
    </w:p>
    <w:p w:rsidR="00641EF2" w:rsidRPr="00D51253" w:rsidRDefault="00641EF2" w:rsidP="00641EF2">
      <w:pPr>
        <w:ind w:firstLineChars="200" w:firstLine="420"/>
        <w:rPr>
          <w:rFonts w:ascii="Times New Roman" w:eastAsia="宋体" w:hAnsi="Times New Roman" w:cs="Times New Roman"/>
        </w:rPr>
      </w:pPr>
      <w:r w:rsidRPr="00D51253">
        <w:rPr>
          <w:rFonts w:ascii="Times New Roman" w:eastAsia="宋体" w:hAnsi="Times New Roman" w:cs="Times New Roman"/>
        </w:rPr>
        <w:t>Motivated reasoning is a cognitive bias to which better-educated people are especially prone. Not all the errors it leads to are costly: preaching the superiority of Arsenal despite contradictory evidence does little harm. But when biases are broadly shared</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D51253">
        <w:rPr>
          <w:rFonts w:ascii="Times New Roman" w:eastAsia="宋体" w:hAnsi="Times New Roman" w:cs="Times New Roman"/>
        </w:rPr>
        <w:t>within troubled firms, say, or financial markets or political parties</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D51253">
        <w:rPr>
          <w:rFonts w:ascii="Times New Roman" w:eastAsia="宋体" w:hAnsi="Times New Roman" w:cs="Times New Roman"/>
        </w:rPr>
        <w:t xml:space="preserve">danger lurks. Motivated reasoning helps explain why viewpoints polarise even as more information is more easily available than ever before. That it is easy to find convincing demolitions of climate-change myths, for example, has not curbed </w:t>
      </w:r>
      <w:r w:rsidRPr="00D51253">
        <w:rPr>
          <w:rFonts w:ascii="Times New Roman" w:eastAsia="宋体" w:hAnsi="Times New Roman" w:cs="Times New Roman"/>
        </w:rPr>
        <w:lastRenderedPageBreak/>
        <w:t xml:space="preserve">misinformation on the topic. But the demand for good (or bad) information is uneven. Polling shows, for example, that Democrats with high levels of scientific knowledge are more concerned about climate change than fellow partisans with less scientific background; among Republicans, the level of scientific awareness has no effect on climate beliefs. Even, or especially, sophisticated news consumers look for what they want to find. </w:t>
      </w:r>
    </w:p>
    <w:p w:rsidR="00641EF2" w:rsidRPr="00D51253" w:rsidRDefault="00641EF2" w:rsidP="00641EF2">
      <w:pPr>
        <w:ind w:firstLineChars="200" w:firstLine="420"/>
        <w:rPr>
          <w:rFonts w:ascii="宋体" w:eastAsia="宋体" w:hAnsi="宋体"/>
        </w:rPr>
      </w:pPr>
    </w:p>
    <w:p w:rsidR="00641EF2" w:rsidRPr="00D51253" w:rsidRDefault="00641EF2" w:rsidP="00641EF2">
      <w:pPr>
        <w:ind w:firstLineChars="200" w:firstLine="420"/>
        <w:rPr>
          <w:rFonts w:ascii="Times New Roman" w:eastAsia="宋体" w:hAnsi="Times New Roman" w:cs="Times New Roman"/>
        </w:rPr>
      </w:pPr>
      <w:r w:rsidRPr="00D51253">
        <w:rPr>
          <w:rFonts w:ascii="Times New Roman" w:eastAsia="宋体" w:hAnsi="Times New Roman" w:cs="Times New Roman"/>
        </w:rPr>
        <w:t xml:space="preserve">Work by Mr Bénabou suggests that groupthink is highest when people within groups face a shared fate: when choosing to break from a group is unlikely to spare an individual the costs of the group’s errors. If an individual politician’s fortunes rise and fall with his party’s, breaking from groupthink brings little individual benefit (and may impose individual costs). The incentive to engage in motivated reasoning is high as a result. Even as the facts on a particular issue converge in one direction, parties can still become increasingly polarised around starkly different belief-sets. That, in turn, can make it harder still for a member of one party to derive any benefit from breaking ranks. Indeed, the group has an incentive to delegitimise independent voices, such as statistical agencies or budget watchdogs. So the unanimity of views can be hard to escape until it contributes to a crisis. </w:t>
      </w:r>
    </w:p>
    <w:p w:rsidR="00641EF2" w:rsidRPr="00D51253" w:rsidRDefault="00641EF2" w:rsidP="00641EF2">
      <w:pPr>
        <w:ind w:firstLineChars="200" w:firstLine="420"/>
        <w:rPr>
          <w:rFonts w:ascii="Times New Roman" w:eastAsia="宋体" w:hAnsi="Times New Roman" w:cs="Times New Roman"/>
        </w:rPr>
      </w:pPr>
    </w:p>
    <w:p w:rsidR="00641EF2" w:rsidRPr="00D51253" w:rsidRDefault="00641EF2" w:rsidP="00641EF2">
      <w:pPr>
        <w:ind w:firstLineChars="200" w:firstLine="420"/>
        <w:rPr>
          <w:rFonts w:ascii="Times New Roman" w:eastAsia="宋体" w:hAnsi="Times New Roman" w:cs="Times New Roman"/>
        </w:rPr>
      </w:pPr>
      <w:r w:rsidRPr="00D51253">
        <w:rPr>
          <w:rFonts w:ascii="Times New Roman" w:eastAsia="宋体" w:hAnsi="Times New Roman" w:cs="Times New Roman"/>
        </w:rPr>
        <w:t xml:space="preserve">Lowering the cost of admitting error could help defuse these crises. A new issue of Econ Journal Watch, an online journal, includes a symposium in which prominent economic thinkers are asked to provide their “most regretted statements”. Held regularly, such exercises might take the shame out of changing your mind. Yet the symposium also shows how hard it is for scholars to grapple with intellectual regret. Some contributions are candid; Tyler Cowen’s analysis of how and why he underestimated the risk of financial crisis in 2007 is enlightening. But some disappoint, picking out regrets that cast the writer in a flattering light or using the opportunity to shift blame. </w:t>
      </w:r>
    </w:p>
    <w:p w:rsidR="00641EF2" w:rsidRPr="00D51253" w:rsidRDefault="00641EF2" w:rsidP="00641EF2">
      <w:pPr>
        <w:ind w:firstLineChars="200" w:firstLine="420"/>
        <w:rPr>
          <w:rFonts w:ascii="Times New Roman" w:eastAsia="宋体" w:hAnsi="Times New Roman" w:cs="Times New Roman"/>
        </w:rPr>
      </w:pPr>
    </w:p>
    <w:p w:rsidR="00641EF2" w:rsidRPr="00D51253" w:rsidRDefault="00641EF2" w:rsidP="00641EF2">
      <w:pPr>
        <w:ind w:firstLineChars="200" w:firstLine="422"/>
        <w:rPr>
          <w:rFonts w:ascii="Times New Roman" w:eastAsia="宋体" w:hAnsi="Times New Roman" w:cs="Times New Roman"/>
          <w:b/>
        </w:rPr>
      </w:pPr>
      <w:r w:rsidRPr="00D51253">
        <w:rPr>
          <w:rFonts w:ascii="Times New Roman" w:eastAsia="宋体" w:hAnsi="Times New Roman" w:cs="Times New Roman"/>
          <w:b/>
        </w:rPr>
        <w:t>I don’t want to be right</w:t>
      </w:r>
    </w:p>
    <w:p w:rsidR="00641EF2" w:rsidRPr="00D51253" w:rsidRDefault="00641EF2" w:rsidP="00641EF2">
      <w:pPr>
        <w:ind w:firstLineChars="200" w:firstLine="420"/>
        <w:rPr>
          <w:rFonts w:ascii="宋体" w:eastAsia="宋体" w:hAnsi="宋体"/>
        </w:rPr>
      </w:pPr>
    </w:p>
    <w:p w:rsidR="00641EF2" w:rsidRPr="00D51253" w:rsidRDefault="00641EF2" w:rsidP="00641EF2">
      <w:pPr>
        <w:ind w:firstLineChars="200" w:firstLine="420"/>
        <w:rPr>
          <w:rFonts w:ascii="Times New Roman" w:eastAsia="宋体" w:hAnsi="Times New Roman" w:cs="Times New Roman"/>
        </w:rPr>
      </w:pPr>
      <w:r w:rsidRPr="00D51253">
        <w:rPr>
          <w:rFonts w:ascii="Times New Roman" w:eastAsia="宋体" w:hAnsi="Times New Roman" w:cs="Times New Roman"/>
        </w:rPr>
        <w:t>Public statements of regret are risky in a rigidly polarised world. Admissions of error both provide propaganda for ideological opponents and annoy fellow-travellers. Some economists used to seethe when members of the guild acknowledged that trade liberalisation could yield costs as well as benefits</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D51253">
        <w:rPr>
          <w:rFonts w:ascii="Times New Roman" w:eastAsia="宋体" w:hAnsi="Times New Roman" w:cs="Times New Roman"/>
        </w:rPr>
        <w:t>though economic models had always allowed for this. In the long run, such self-censorship probably eroded trust in economists’ arguments more than it built support for trade. It is rarely in the interest of those in the right to pretend that they are never wrong.</w:t>
      </w:r>
    </w:p>
    <w:p w:rsidR="00641EF2" w:rsidRPr="00D51253" w:rsidRDefault="00641EF2" w:rsidP="00641EF2">
      <w:pPr>
        <w:rPr>
          <w:rFonts w:ascii="宋体" w:eastAsia="宋体" w:hAnsi="宋体"/>
        </w:rPr>
      </w:pPr>
    </w:p>
    <w:p w:rsidR="009106A7" w:rsidRPr="00641EF2" w:rsidRDefault="009106A7"/>
    <w:sectPr w:rsidR="009106A7" w:rsidRPr="00641E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6A7" w:rsidRDefault="009106A7" w:rsidP="00641EF2">
      <w:r>
        <w:separator/>
      </w:r>
    </w:p>
  </w:endnote>
  <w:endnote w:type="continuationSeparator" w:id="1">
    <w:p w:rsidR="009106A7" w:rsidRDefault="009106A7" w:rsidP="00641E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6A7" w:rsidRDefault="009106A7" w:rsidP="00641EF2">
      <w:r>
        <w:separator/>
      </w:r>
    </w:p>
  </w:footnote>
  <w:footnote w:type="continuationSeparator" w:id="1">
    <w:p w:rsidR="009106A7" w:rsidRDefault="009106A7" w:rsidP="00641E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1EF2"/>
    <w:rsid w:val="00641EF2"/>
    <w:rsid w:val="009106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E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1E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1EF2"/>
    <w:rPr>
      <w:sz w:val="18"/>
      <w:szCs w:val="18"/>
    </w:rPr>
  </w:style>
  <w:style w:type="paragraph" w:styleId="a4">
    <w:name w:val="footer"/>
    <w:basedOn w:val="a"/>
    <w:link w:val="Char0"/>
    <w:uiPriority w:val="99"/>
    <w:semiHidden/>
    <w:unhideWhenUsed/>
    <w:rsid w:val="00641E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1EF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912</Words>
  <Characters>5203</Characters>
  <Application>Microsoft Office Word</Application>
  <DocSecurity>0</DocSecurity>
  <Lines>43</Lines>
  <Paragraphs>12</Paragraphs>
  <ScaleCrop>false</ScaleCrop>
  <Company/>
  <LinksUpToDate>false</LinksUpToDate>
  <CharactersWithSpaces>6103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2017-11-24T01:04:00Z</dcterms:created>
  <dcterms:modified xsi:type="dcterms:W3CDTF">2017-11-24T01:05:00Z</dcterms:modified>
</cp:coreProperties>
</file>